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164"/>
        </w:tabs>
        <w:adjustRightInd w:val="0"/>
        <w:snapToGrid w:val="0"/>
        <w:spacing w:after="0" w:line="560" w:lineRule="exact"/>
        <w:ind w:left="0" w:leftChars="0" w:firstLine="0" w:firstLineChars="0"/>
        <w:rPr>
          <w:rFonts w:hint="eastAsia" w:ascii="Times New Roman" w:hAnsi="Times New Roman" w:eastAsia="方正公文仿宋"/>
          <w:kern w:val="0"/>
          <w:sz w:val="32"/>
          <w:szCs w:val="32"/>
          <w:highlight w:val="none"/>
          <w:lang w:eastAsia="zh-CN" w:bidi="ar"/>
        </w:rPr>
      </w:pPr>
      <w:r>
        <w:rPr>
          <w:rFonts w:hint="eastAsia" w:ascii="Times New Roman" w:hAnsi="Times New Roman" w:eastAsia="方正公文仿宋"/>
          <w:kern w:val="0"/>
          <w:sz w:val="32"/>
          <w:szCs w:val="32"/>
          <w:highlight w:val="none"/>
          <w:lang w:eastAsia="zh-CN" w:bidi="ar"/>
        </w:rPr>
        <w:t>评分标准：</w:t>
      </w:r>
    </w:p>
    <w:tbl>
      <w:tblPr>
        <w:tblStyle w:val="5"/>
        <w:tblW w:w="8820" w:type="dxa"/>
        <w:jc w:val="center"/>
        <w:tblInd w:w="0" w:type="dxa"/>
        <w:tblLayout w:type="fixed"/>
        <w:tblCellMar>
          <w:top w:w="0" w:type="dxa"/>
          <w:left w:w="108" w:type="dxa"/>
          <w:bottom w:w="0" w:type="dxa"/>
          <w:right w:w="108" w:type="dxa"/>
        </w:tblCellMar>
      </w:tblPr>
      <w:tblGrid>
        <w:gridCol w:w="746"/>
        <w:gridCol w:w="1242"/>
        <w:gridCol w:w="6832"/>
      </w:tblGrid>
      <w:tr>
        <w:tblPrEx>
          <w:tblLayout w:type="fixed"/>
          <w:tblCellMar>
            <w:top w:w="0" w:type="dxa"/>
            <w:left w:w="108" w:type="dxa"/>
            <w:bottom w:w="0" w:type="dxa"/>
            <w:right w:w="108" w:type="dxa"/>
          </w:tblCellMar>
        </w:tblPrEx>
        <w:trPr>
          <w:trHeight w:val="415" w:hRule="atLeast"/>
          <w:jc w:val="center"/>
        </w:trPr>
        <w:tc>
          <w:tcPr>
            <w:tcW w:w="746"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both"/>
              <w:rPr>
                <w:rFonts w:hint="eastAsia" w:cs="宋体"/>
                <w:lang w:val="zh-CN"/>
              </w:rPr>
            </w:pPr>
            <w:r>
              <w:rPr>
                <w:rFonts w:hint="eastAsia" w:cs="宋体"/>
                <w:lang w:val="zh-CN"/>
              </w:rPr>
              <w:t>序号</w:t>
            </w:r>
          </w:p>
        </w:tc>
        <w:tc>
          <w:tcPr>
            <w:tcW w:w="1242"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both"/>
              <w:rPr>
                <w:rFonts w:hint="eastAsia" w:cs="宋体"/>
              </w:rPr>
            </w:pPr>
            <w:r>
              <w:rPr>
                <w:rFonts w:hint="eastAsia" w:cs="宋体"/>
                <w:lang w:val="zh-CN"/>
              </w:rPr>
              <w:t>评审</w:t>
            </w:r>
            <w:r>
              <w:rPr>
                <w:rFonts w:hint="eastAsia" w:cs="宋体"/>
              </w:rPr>
              <w:t>因素</w:t>
            </w:r>
          </w:p>
        </w:tc>
        <w:tc>
          <w:tcPr>
            <w:tcW w:w="6832"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center"/>
              <w:rPr>
                <w:rFonts w:hint="eastAsia" w:cs="宋体"/>
                <w:lang w:val="zh-CN"/>
              </w:rPr>
            </w:pPr>
            <w:r>
              <w:rPr>
                <w:rFonts w:hint="eastAsia" w:cs="宋体"/>
              </w:rPr>
              <w:t>评审标准</w:t>
            </w:r>
          </w:p>
        </w:tc>
      </w:tr>
      <w:tr>
        <w:tblPrEx>
          <w:tblLayout w:type="fixed"/>
          <w:tblCellMar>
            <w:top w:w="0" w:type="dxa"/>
            <w:left w:w="108" w:type="dxa"/>
            <w:bottom w:w="0" w:type="dxa"/>
            <w:right w:w="108" w:type="dxa"/>
          </w:tblCellMar>
        </w:tblPrEx>
        <w:trPr>
          <w:trHeight w:val="415" w:hRule="atLeast"/>
          <w:jc w:val="center"/>
        </w:trPr>
        <w:tc>
          <w:tcPr>
            <w:tcW w:w="746"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center"/>
              <w:rPr>
                <w:rFonts w:hint="eastAsia" w:cs="宋体"/>
                <w:b w:val="0"/>
                <w:bCs w:val="0"/>
              </w:rPr>
            </w:pPr>
            <w:r>
              <w:rPr>
                <w:rFonts w:hint="eastAsia" w:cs="宋体"/>
                <w:b w:val="0"/>
                <w:bCs w:val="0"/>
              </w:rPr>
              <w:t>1</w:t>
            </w:r>
          </w:p>
        </w:tc>
        <w:tc>
          <w:tcPr>
            <w:tcW w:w="1242"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shd w:val="clear" w:color="auto" w:fill="FFFFFF"/>
              </w:rPr>
            </w:pPr>
            <w:r>
              <w:rPr>
                <w:rFonts w:hint="eastAsia" w:cs="宋体"/>
                <w:b w:val="0"/>
                <w:bCs w:val="0"/>
                <w:shd w:val="clear" w:color="auto" w:fill="FFFFFF"/>
              </w:rPr>
              <w:t>投标报价</w:t>
            </w:r>
          </w:p>
          <w:p>
            <w:pPr>
              <w:pStyle w:val="3"/>
              <w:spacing w:before="0" w:beforeAutospacing="0" w:after="0" w:afterAutospacing="0" w:line="360" w:lineRule="auto"/>
              <w:jc w:val="both"/>
              <w:rPr>
                <w:rFonts w:hint="eastAsia" w:cs="宋体"/>
                <w:b w:val="0"/>
                <w:bCs w:val="0"/>
                <w:color w:val="FF0000"/>
                <w:lang w:val="zh-CN"/>
              </w:rPr>
            </w:pPr>
            <w:r>
              <w:rPr>
                <w:rFonts w:hint="eastAsia" w:cs="宋体"/>
                <w:b w:val="0"/>
                <w:bCs w:val="0"/>
                <w:shd w:val="clear" w:color="auto" w:fill="FFFFFF"/>
              </w:rPr>
              <w:t>(</w:t>
            </w:r>
            <w:r>
              <w:rPr>
                <w:rFonts w:hint="eastAsia" w:cs="宋体"/>
                <w:b w:val="0"/>
                <w:bCs w:val="0"/>
                <w:shd w:val="clear" w:color="auto" w:fill="FFFFFF"/>
                <w:lang w:val="en-US" w:eastAsia="zh-CN"/>
              </w:rPr>
              <w:t>30分</w:t>
            </w:r>
            <w:r>
              <w:rPr>
                <w:rFonts w:hint="eastAsia" w:cs="宋体"/>
                <w:b w:val="0"/>
                <w:bCs w:val="0"/>
                <w:shd w:val="clear" w:color="auto" w:fill="FFFFFF"/>
              </w:rPr>
              <w:t>)</w:t>
            </w:r>
          </w:p>
        </w:tc>
        <w:tc>
          <w:tcPr>
            <w:tcW w:w="6832"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shd w:val="clear" w:color="auto" w:fill="FFFFFF"/>
              </w:rPr>
              <w:t>（1）投标价格最低的投标报价为评标基准价，其价格分为满分。其他投标人的价格分统一按照下列公式计算：投标报价得分=(评标基准价／投标报价)×100×投标报价比重</w:t>
            </w:r>
            <w:r>
              <w:rPr>
                <w:rFonts w:hint="eastAsia" w:cs="宋体"/>
                <w:b w:val="0"/>
                <w:bCs w:val="0"/>
                <w:lang w:val="zh-CN"/>
              </w:rPr>
              <w:t>（</w:t>
            </w:r>
            <w:r>
              <w:rPr>
                <w:rFonts w:hint="eastAsia" w:cs="宋体"/>
                <w:b w:val="0"/>
                <w:bCs w:val="0"/>
                <w:lang w:val="en-US" w:eastAsia="zh-CN"/>
              </w:rPr>
              <w:t>3</w:t>
            </w:r>
            <w:r>
              <w:rPr>
                <w:rFonts w:hint="eastAsia" w:cs="宋体"/>
                <w:b w:val="0"/>
                <w:bCs w:val="0"/>
              </w:rPr>
              <w:t>0</w:t>
            </w:r>
            <w:r>
              <w:rPr>
                <w:rFonts w:hint="eastAsia" w:cs="宋体"/>
                <w:b w:val="0"/>
                <w:bCs w:val="0"/>
                <w:lang w:val="zh-CN"/>
              </w:rPr>
              <w:t>%）</w:t>
            </w:r>
          </w:p>
        </w:tc>
      </w:tr>
      <w:tr>
        <w:tblPrEx>
          <w:tblLayout w:type="fixed"/>
          <w:tblCellMar>
            <w:top w:w="0" w:type="dxa"/>
            <w:left w:w="108" w:type="dxa"/>
            <w:bottom w:w="0" w:type="dxa"/>
            <w:right w:w="108" w:type="dxa"/>
          </w:tblCellMar>
        </w:tblPrEx>
        <w:trPr>
          <w:trHeight w:val="1539" w:hRule="atLeast"/>
          <w:jc w:val="center"/>
        </w:trPr>
        <w:tc>
          <w:tcPr>
            <w:tcW w:w="746" w:type="dxa"/>
            <w:tcBorders>
              <w:top w:val="single" w:color="000000" w:sz="6" w:space="0"/>
              <w:left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 xml:space="preserve">  2</w:t>
            </w:r>
          </w:p>
        </w:tc>
        <w:tc>
          <w:tcPr>
            <w:tcW w:w="1242" w:type="dxa"/>
            <w:tcBorders>
              <w:top w:val="single" w:color="000000" w:sz="6" w:space="0"/>
              <w:left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color w:val="FF0000"/>
                <w:lang w:val="zh-CN"/>
              </w:rPr>
            </w:pPr>
            <w:r>
              <w:rPr>
                <w:rFonts w:hint="eastAsia" w:cs="宋体"/>
                <w:b w:val="0"/>
                <w:bCs w:val="0"/>
                <w:lang w:val="zh-CN"/>
              </w:rPr>
              <w:t>技术参数（</w:t>
            </w:r>
            <w:r>
              <w:rPr>
                <w:rFonts w:hint="eastAsia" w:cs="宋体"/>
                <w:b w:val="0"/>
                <w:bCs w:val="0"/>
                <w:lang w:val="en-US" w:eastAsia="zh-CN"/>
              </w:rPr>
              <w:t>30分</w:t>
            </w:r>
            <w:r>
              <w:rPr>
                <w:rFonts w:hint="eastAsia" w:cs="宋体"/>
                <w:b w:val="0"/>
                <w:bCs w:val="0"/>
                <w:lang w:val="zh-CN"/>
              </w:rPr>
              <w:t>）</w:t>
            </w:r>
          </w:p>
        </w:tc>
        <w:tc>
          <w:tcPr>
            <w:tcW w:w="6832" w:type="dxa"/>
            <w:tcBorders>
              <w:top w:val="single" w:color="000000" w:sz="6" w:space="0"/>
              <w:left w:val="single" w:color="000000" w:sz="6" w:space="0"/>
              <w:bottom w:val="single" w:color="auto" w:sz="4" w:space="0"/>
              <w:right w:val="single" w:color="000000" w:sz="6" w:space="0"/>
            </w:tcBorders>
            <w:vAlign w:val="center"/>
          </w:tcPr>
          <w:p>
            <w:pPr>
              <w:pStyle w:val="3"/>
              <w:spacing w:line="360" w:lineRule="auto"/>
              <w:jc w:val="both"/>
              <w:rPr>
                <w:rFonts w:hint="eastAsia" w:cs="宋体"/>
                <w:b w:val="0"/>
                <w:bCs w:val="0"/>
              </w:rPr>
            </w:pPr>
            <w:r>
              <w:rPr>
                <w:rFonts w:hint="eastAsia" w:cs="宋体"/>
                <w:b w:val="0"/>
                <w:bCs w:val="0"/>
              </w:rPr>
              <w:t xml:space="preserve"> </w:t>
            </w:r>
            <w:r>
              <w:rPr>
                <w:rFonts w:hint="eastAsia" w:eastAsia="宋体" w:cs="宋体"/>
                <w:b w:val="0"/>
                <w:bCs w:val="0"/>
                <w:color w:val="auto"/>
                <w:szCs w:val="21"/>
              </w:rPr>
              <w:t>根据参数要求供应商提供所投产品的具体参数以及对采购要求的响应情况，技术参数和配置完全满足或高于要求的得30分，一项不满足扣</w:t>
            </w:r>
            <w:r>
              <w:rPr>
                <w:rFonts w:hint="eastAsia" w:eastAsia="宋体" w:cs="宋体"/>
                <w:b w:val="0"/>
                <w:bCs w:val="0"/>
                <w:color w:val="auto"/>
                <w:szCs w:val="21"/>
                <w:lang w:val="en-US" w:eastAsia="zh-CN"/>
              </w:rPr>
              <w:t>5</w:t>
            </w:r>
            <w:r>
              <w:rPr>
                <w:rFonts w:hint="eastAsia" w:eastAsia="宋体" w:cs="宋体"/>
                <w:b w:val="0"/>
                <w:bCs w:val="0"/>
                <w:color w:val="auto"/>
                <w:szCs w:val="21"/>
              </w:rPr>
              <w:t>分，扣完为止。</w:t>
            </w:r>
          </w:p>
        </w:tc>
      </w:tr>
      <w:tr>
        <w:tblPrEx>
          <w:tblLayout w:type="fixed"/>
          <w:tblCellMar>
            <w:top w:w="0" w:type="dxa"/>
            <w:left w:w="108" w:type="dxa"/>
            <w:bottom w:w="0" w:type="dxa"/>
            <w:right w:w="108" w:type="dxa"/>
          </w:tblCellMar>
        </w:tblPrEx>
        <w:trPr>
          <w:trHeight w:val="1539" w:hRule="atLeast"/>
          <w:jc w:val="center"/>
        </w:trPr>
        <w:tc>
          <w:tcPr>
            <w:tcW w:w="746" w:type="dxa"/>
            <w:vMerge w:val="restart"/>
            <w:tcBorders>
              <w:top w:val="single" w:color="000000" w:sz="6" w:space="0"/>
              <w:left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 xml:space="preserve">  3</w:t>
            </w:r>
          </w:p>
        </w:tc>
        <w:tc>
          <w:tcPr>
            <w:tcW w:w="1242" w:type="dxa"/>
            <w:vMerge w:val="restart"/>
            <w:tcBorders>
              <w:top w:val="single" w:color="000000" w:sz="6" w:space="0"/>
              <w:left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lang w:val="zh-CN"/>
              </w:rPr>
            </w:pPr>
            <w:r>
              <w:rPr>
                <w:rFonts w:hint="eastAsia" w:cs="宋体"/>
                <w:b w:val="0"/>
                <w:bCs w:val="0"/>
                <w:lang w:val="zh-CN"/>
              </w:rPr>
              <w:t>方案（</w:t>
            </w:r>
            <w:r>
              <w:rPr>
                <w:rFonts w:hint="eastAsia" w:cs="宋体"/>
                <w:b w:val="0"/>
                <w:bCs w:val="0"/>
              </w:rPr>
              <w:t>20</w:t>
            </w:r>
            <w:r>
              <w:rPr>
                <w:rFonts w:hint="eastAsia" w:cs="宋体"/>
                <w:b w:val="0"/>
                <w:bCs w:val="0"/>
                <w:lang w:val="zh-CN"/>
              </w:rPr>
              <w:t>分）</w:t>
            </w:r>
          </w:p>
        </w:tc>
        <w:tc>
          <w:tcPr>
            <w:tcW w:w="6832" w:type="dxa"/>
            <w:tcBorders>
              <w:top w:val="single" w:color="000000" w:sz="6" w:space="0"/>
              <w:left w:val="single" w:color="000000" w:sz="6" w:space="0"/>
              <w:bottom w:val="single" w:color="auto" w:sz="4" w:space="0"/>
              <w:right w:val="single" w:color="000000" w:sz="6" w:space="0"/>
            </w:tcBorders>
            <w:vAlign w:val="center"/>
          </w:tcPr>
          <w:p>
            <w:pPr>
              <w:rPr>
                <w:rFonts w:hint="eastAsia" w:ascii="宋体" w:hAnsi="宋体" w:cs="宋体"/>
                <w:b w:val="0"/>
                <w:bCs w:val="0"/>
                <w:color w:val="000000"/>
                <w:kern w:val="0"/>
                <w:sz w:val="24"/>
              </w:rPr>
            </w:pPr>
            <w:r>
              <w:rPr>
                <w:rFonts w:hint="eastAsia" w:ascii="宋体" w:hAnsi="宋体" w:cs="宋体"/>
                <w:b w:val="0"/>
                <w:bCs w:val="0"/>
                <w:color w:val="000000"/>
                <w:kern w:val="0"/>
                <w:sz w:val="24"/>
              </w:rPr>
              <w:t>（1）</w:t>
            </w:r>
            <w:r>
              <w:rPr>
                <w:rFonts w:hint="eastAsia" w:ascii="宋体" w:hAnsi="宋体" w:eastAsia="宋体" w:cs="宋体"/>
                <w:b w:val="0"/>
                <w:bCs w:val="0"/>
                <w:i w:val="0"/>
                <w:iCs w:val="0"/>
                <w:color w:val="000000"/>
                <w:kern w:val="0"/>
                <w:sz w:val="24"/>
                <w:szCs w:val="24"/>
                <w:lang w:val="en-US" w:eastAsia="zh-CN" w:bidi="ar-SA"/>
              </w:rPr>
              <w:t>技术培训方案：明确①培训批次、培训时长②培训内容、③培训讲师团队的</w:t>
            </w:r>
            <w:r>
              <w:rPr>
                <w:rFonts w:hint="eastAsia" w:ascii="宋体" w:hAnsi="宋体" w:cs="宋体"/>
                <w:b w:val="0"/>
                <w:bCs w:val="0"/>
                <w:color w:val="000000"/>
                <w:kern w:val="0"/>
                <w:sz w:val="24"/>
              </w:rPr>
              <w:t>方案合理、可行、规范的得 10分，方案可行性以及规范性基本合理的得 7 分，方案、可行性以及规范性一般的得4 分，没有不得分。</w:t>
            </w:r>
          </w:p>
        </w:tc>
      </w:tr>
      <w:tr>
        <w:tblPrEx>
          <w:tblLayout w:type="fixed"/>
          <w:tblCellMar>
            <w:top w:w="0" w:type="dxa"/>
            <w:left w:w="108" w:type="dxa"/>
            <w:bottom w:w="0" w:type="dxa"/>
            <w:right w:w="108" w:type="dxa"/>
          </w:tblCellMar>
        </w:tblPrEx>
        <w:trPr>
          <w:trHeight w:val="1539" w:hRule="atLeast"/>
          <w:jc w:val="center"/>
        </w:trPr>
        <w:tc>
          <w:tcPr>
            <w:tcW w:w="746" w:type="dxa"/>
            <w:vMerge w:val="continue"/>
            <w:tcBorders>
              <w:left w:val="single" w:color="000000" w:sz="6" w:space="0"/>
              <w:bottom w:val="single" w:color="auto" w:sz="4" w:space="0"/>
              <w:right w:val="single" w:color="000000" w:sz="6" w:space="0"/>
            </w:tcBorders>
            <w:vAlign w:val="center"/>
          </w:tcPr>
          <w:p>
            <w:pPr>
              <w:pStyle w:val="3"/>
              <w:spacing w:before="0" w:beforeAutospacing="0" w:after="0" w:afterAutospacing="0" w:line="360" w:lineRule="auto"/>
              <w:jc w:val="both"/>
              <w:rPr>
                <w:rFonts w:hint="eastAsia" w:cs="宋体"/>
                <w:b w:val="0"/>
                <w:bCs w:val="0"/>
              </w:rPr>
            </w:pPr>
          </w:p>
        </w:tc>
        <w:tc>
          <w:tcPr>
            <w:tcW w:w="1242" w:type="dxa"/>
            <w:vMerge w:val="continue"/>
            <w:tcBorders>
              <w:left w:val="single" w:color="000000" w:sz="6" w:space="0"/>
              <w:bottom w:val="single" w:color="auto" w:sz="4" w:space="0"/>
              <w:right w:val="single" w:color="000000" w:sz="6" w:space="0"/>
            </w:tcBorders>
            <w:vAlign w:val="center"/>
          </w:tcPr>
          <w:p>
            <w:pPr>
              <w:pStyle w:val="3"/>
              <w:spacing w:before="0" w:beforeAutospacing="0" w:after="0" w:afterAutospacing="0" w:line="360" w:lineRule="auto"/>
              <w:jc w:val="both"/>
              <w:rPr>
                <w:rFonts w:hint="eastAsia" w:cs="宋体"/>
                <w:b w:val="0"/>
                <w:bCs w:val="0"/>
                <w:lang w:val="zh-CN"/>
              </w:rPr>
            </w:pPr>
          </w:p>
        </w:tc>
        <w:tc>
          <w:tcPr>
            <w:tcW w:w="6832" w:type="dxa"/>
            <w:tcBorders>
              <w:top w:val="single" w:color="000000" w:sz="6" w:space="0"/>
              <w:left w:val="single" w:color="000000" w:sz="6" w:space="0"/>
              <w:bottom w:val="single" w:color="auto" w:sz="4" w:space="0"/>
              <w:right w:val="single" w:color="000000" w:sz="6" w:space="0"/>
            </w:tcBorders>
            <w:vAlign w:val="center"/>
          </w:tcPr>
          <w:p>
            <w:pPr>
              <w:rPr>
                <w:rFonts w:hint="eastAsia" w:ascii="宋体" w:hAnsi="宋体" w:cs="宋体"/>
                <w:b w:val="0"/>
                <w:bCs w:val="0"/>
                <w:color w:val="000000"/>
                <w:kern w:val="0"/>
                <w:sz w:val="24"/>
              </w:rPr>
            </w:pPr>
            <w:r>
              <w:rPr>
                <w:rFonts w:hint="eastAsia" w:ascii="宋体" w:hAnsi="宋体" w:cs="宋体"/>
                <w:b w:val="0"/>
                <w:bCs w:val="0"/>
                <w:color w:val="000000"/>
                <w:kern w:val="0"/>
                <w:sz w:val="24"/>
              </w:rPr>
              <w:t>（2）</w:t>
            </w:r>
            <w:r>
              <w:rPr>
                <w:rFonts w:hint="eastAsia" w:ascii="宋体" w:hAnsi="宋体" w:cs="宋体"/>
                <w:b w:val="0"/>
                <w:bCs w:val="0"/>
                <w:color w:val="000000"/>
                <w:kern w:val="0"/>
                <w:sz w:val="24"/>
                <w:lang w:eastAsia="zh-CN"/>
              </w:rPr>
              <w:t>设备</w:t>
            </w:r>
            <w:r>
              <w:rPr>
                <w:rFonts w:hint="eastAsia" w:ascii="宋体" w:hAnsi="宋体" w:cs="宋体"/>
                <w:b w:val="0"/>
                <w:bCs w:val="0"/>
                <w:color w:val="000000"/>
                <w:kern w:val="0"/>
                <w:sz w:val="24"/>
              </w:rPr>
              <w:t>管理和质量保证：针对本次项目，根据供应商提供</w:t>
            </w:r>
            <w:r>
              <w:rPr>
                <w:rFonts w:hint="eastAsia" w:ascii="宋体" w:hAnsi="宋体" w:cs="宋体"/>
                <w:b w:val="0"/>
                <w:bCs w:val="0"/>
                <w:color w:val="000000"/>
                <w:kern w:val="0"/>
                <w:sz w:val="24"/>
                <w:lang w:eastAsia="zh-CN"/>
              </w:rPr>
              <w:t>设备</w:t>
            </w:r>
            <w:r>
              <w:rPr>
                <w:rFonts w:hint="eastAsia" w:ascii="宋体" w:hAnsi="宋体" w:cs="宋体"/>
                <w:b w:val="0"/>
                <w:bCs w:val="0"/>
                <w:color w:val="000000"/>
                <w:kern w:val="0"/>
                <w:sz w:val="24"/>
              </w:rPr>
              <w:t>管理和质量保证明确、可行、完整规范的得10 分；</w:t>
            </w:r>
            <w:r>
              <w:rPr>
                <w:rFonts w:hint="eastAsia" w:ascii="宋体" w:hAnsi="宋体" w:cs="宋体"/>
                <w:b w:val="0"/>
                <w:bCs w:val="0"/>
                <w:color w:val="000000"/>
                <w:kern w:val="0"/>
                <w:sz w:val="24"/>
                <w:lang w:eastAsia="zh-CN"/>
              </w:rPr>
              <w:t>设备</w:t>
            </w:r>
            <w:r>
              <w:rPr>
                <w:rFonts w:hint="eastAsia" w:ascii="宋体" w:hAnsi="宋体" w:cs="宋体"/>
                <w:b w:val="0"/>
                <w:bCs w:val="0"/>
                <w:color w:val="000000"/>
                <w:kern w:val="0"/>
                <w:sz w:val="24"/>
              </w:rPr>
              <w:t>管理</w:t>
            </w:r>
            <w:r>
              <w:rPr>
                <w:rFonts w:hint="eastAsia" w:ascii="宋体" w:hAnsi="宋体" w:cs="宋体"/>
                <w:b w:val="0"/>
                <w:bCs w:val="0"/>
                <w:color w:val="000000"/>
                <w:kern w:val="0"/>
                <w:sz w:val="24"/>
                <w:lang w:val="zh-CN"/>
              </w:rPr>
              <w:t>方案</w:t>
            </w:r>
            <w:r>
              <w:rPr>
                <w:rFonts w:hint="eastAsia" w:ascii="宋体" w:hAnsi="宋体" w:cs="宋体"/>
                <w:b w:val="0"/>
                <w:bCs w:val="0"/>
                <w:color w:val="000000"/>
                <w:kern w:val="0"/>
                <w:sz w:val="24"/>
              </w:rPr>
              <w:t>和质量保证措施基本合理的得7分；</w:t>
            </w:r>
            <w:r>
              <w:rPr>
                <w:rFonts w:hint="eastAsia" w:ascii="宋体" w:hAnsi="宋体" w:cs="宋体"/>
                <w:b w:val="0"/>
                <w:bCs w:val="0"/>
                <w:color w:val="000000"/>
                <w:kern w:val="0"/>
                <w:sz w:val="24"/>
                <w:lang w:eastAsia="zh-CN"/>
              </w:rPr>
              <w:t>设备</w:t>
            </w:r>
            <w:r>
              <w:rPr>
                <w:rFonts w:hint="eastAsia" w:ascii="宋体" w:hAnsi="宋体" w:cs="宋体"/>
                <w:b w:val="0"/>
                <w:bCs w:val="0"/>
                <w:color w:val="000000"/>
                <w:kern w:val="0"/>
                <w:sz w:val="24"/>
              </w:rPr>
              <w:t>管理和质量保证</w:t>
            </w:r>
            <w:r>
              <w:rPr>
                <w:rFonts w:hint="eastAsia" w:ascii="宋体" w:hAnsi="宋体" w:cs="宋体"/>
                <w:b w:val="0"/>
                <w:bCs w:val="0"/>
                <w:color w:val="000000"/>
                <w:kern w:val="0"/>
                <w:sz w:val="24"/>
                <w:lang w:eastAsia="zh-CN"/>
              </w:rPr>
              <w:t>措施</w:t>
            </w:r>
            <w:r>
              <w:rPr>
                <w:rFonts w:hint="eastAsia" w:ascii="宋体" w:hAnsi="宋体" w:cs="宋体"/>
                <w:b w:val="0"/>
                <w:bCs w:val="0"/>
                <w:color w:val="000000"/>
                <w:kern w:val="0"/>
                <w:sz w:val="24"/>
              </w:rPr>
              <w:t>一般的得 4分，没有不得分。</w:t>
            </w:r>
          </w:p>
        </w:tc>
      </w:tr>
      <w:tr>
        <w:tblPrEx>
          <w:tblLayout w:type="fixed"/>
          <w:tblCellMar>
            <w:top w:w="0" w:type="dxa"/>
            <w:left w:w="108" w:type="dxa"/>
            <w:bottom w:w="0" w:type="dxa"/>
            <w:right w:w="108" w:type="dxa"/>
          </w:tblCellMar>
        </w:tblPrEx>
        <w:trPr>
          <w:trHeight w:val="44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 xml:space="preserve">  4</w:t>
            </w:r>
          </w:p>
        </w:tc>
        <w:tc>
          <w:tcPr>
            <w:tcW w:w="1242"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lang w:val="zh-CN"/>
              </w:rPr>
            </w:pPr>
            <w:r>
              <w:rPr>
                <w:rFonts w:hint="eastAsia" w:cs="宋体"/>
                <w:b w:val="0"/>
                <w:bCs w:val="0"/>
              </w:rPr>
              <w:t>类似业绩</w:t>
            </w:r>
          </w:p>
          <w:p>
            <w:pPr>
              <w:pStyle w:val="3"/>
              <w:spacing w:before="0" w:beforeAutospacing="0" w:after="0" w:afterAutospacing="0" w:line="360" w:lineRule="auto"/>
              <w:jc w:val="both"/>
              <w:rPr>
                <w:rFonts w:hint="eastAsia" w:cs="宋体"/>
                <w:b w:val="0"/>
                <w:bCs w:val="0"/>
                <w:color w:val="FF0000"/>
                <w:lang w:val="zh-CN"/>
              </w:rPr>
            </w:pPr>
            <w:r>
              <w:rPr>
                <w:rFonts w:hint="eastAsia" w:cs="宋体"/>
                <w:b w:val="0"/>
                <w:bCs w:val="0"/>
              </w:rPr>
              <w:t xml:space="preserve"> </w:t>
            </w:r>
            <w:r>
              <w:rPr>
                <w:rFonts w:hint="eastAsia" w:cs="宋体"/>
                <w:b w:val="0"/>
                <w:bCs w:val="0"/>
                <w:lang w:val="zh-CN"/>
              </w:rPr>
              <w:t>(</w:t>
            </w:r>
            <w:r>
              <w:rPr>
                <w:rFonts w:hint="eastAsia" w:cs="宋体"/>
                <w:b w:val="0"/>
                <w:bCs w:val="0"/>
                <w:lang w:val="en-US" w:eastAsia="zh-CN"/>
              </w:rPr>
              <w:t>10分</w:t>
            </w:r>
            <w:r>
              <w:rPr>
                <w:rFonts w:hint="eastAsia" w:cs="宋体"/>
                <w:b w:val="0"/>
                <w:bCs w:val="0"/>
                <w:lang w:val="zh-CN"/>
              </w:rPr>
              <w:t>)</w:t>
            </w:r>
          </w:p>
        </w:tc>
        <w:tc>
          <w:tcPr>
            <w:tcW w:w="6832"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类似业绩情况：</w:t>
            </w:r>
            <w:r>
              <w:rPr>
                <w:rFonts w:hint="eastAsia" w:ascii="新宋体" w:hAnsi="新宋体" w:eastAsia="新宋体" w:cs="新宋体"/>
                <w:b w:val="0"/>
                <w:bCs w:val="0"/>
                <w:lang w:val="zh-CN"/>
              </w:rPr>
              <w:t>提供</w:t>
            </w:r>
            <w:r>
              <w:rPr>
                <w:rFonts w:hint="eastAsia" w:ascii="新宋体" w:hAnsi="新宋体" w:eastAsia="新宋体" w:cs="新宋体"/>
                <w:b w:val="0"/>
                <w:bCs w:val="0"/>
              </w:rPr>
              <w:t>202</w:t>
            </w:r>
            <w:r>
              <w:rPr>
                <w:rFonts w:hint="eastAsia" w:ascii="新宋体" w:hAnsi="新宋体" w:eastAsia="新宋体" w:cs="新宋体"/>
                <w:b w:val="0"/>
                <w:bCs w:val="0"/>
                <w:lang w:val="en-US" w:eastAsia="zh-CN"/>
              </w:rPr>
              <w:t>2</w:t>
            </w:r>
            <w:r>
              <w:rPr>
                <w:rFonts w:hint="eastAsia" w:ascii="新宋体" w:hAnsi="新宋体" w:eastAsia="新宋体" w:cs="新宋体"/>
                <w:b w:val="0"/>
                <w:bCs w:val="0"/>
                <w:lang w:val="zh-CN"/>
              </w:rPr>
              <w:t>年</w:t>
            </w:r>
            <w:r>
              <w:rPr>
                <w:rFonts w:hint="eastAsia" w:ascii="新宋体" w:hAnsi="新宋体" w:eastAsia="新宋体" w:cs="新宋体"/>
                <w:b w:val="0"/>
                <w:bCs w:val="0"/>
              </w:rPr>
              <w:t>以来</w:t>
            </w:r>
            <w:r>
              <w:rPr>
                <w:rFonts w:hint="eastAsia" w:ascii="新宋体" w:hAnsi="新宋体" w:eastAsia="新宋体" w:cs="新宋体"/>
                <w:b w:val="0"/>
                <w:bCs w:val="0"/>
                <w:lang w:val="zh-CN"/>
              </w:rPr>
              <w:t>的类似业绩证明材料</w:t>
            </w:r>
            <w:r>
              <w:rPr>
                <w:rFonts w:hint="eastAsia" w:ascii="新宋体" w:hAnsi="新宋体" w:eastAsia="新宋体" w:cs="新宋体"/>
                <w:b w:val="0"/>
                <w:bCs w:val="0"/>
              </w:rPr>
              <w:t>,</w:t>
            </w:r>
            <w:r>
              <w:rPr>
                <w:rFonts w:hint="eastAsia" w:ascii="新宋体" w:hAnsi="新宋体" w:eastAsia="新宋体" w:cs="新宋体"/>
                <w:b w:val="0"/>
                <w:bCs w:val="0"/>
                <w:shd w:val="clear" w:color="auto" w:fill="FFFFFF"/>
                <w:lang w:val="zh-CN"/>
              </w:rPr>
              <w:t>每提供1项得</w:t>
            </w:r>
            <w:r>
              <w:rPr>
                <w:rFonts w:hint="eastAsia" w:ascii="新宋体" w:hAnsi="新宋体" w:eastAsia="新宋体" w:cs="新宋体"/>
                <w:b w:val="0"/>
                <w:bCs w:val="0"/>
                <w:shd w:val="clear" w:color="auto" w:fill="FFFFFF"/>
                <w:lang w:val="en-US" w:eastAsia="zh-CN"/>
              </w:rPr>
              <w:t>2</w:t>
            </w:r>
            <w:r>
              <w:rPr>
                <w:rFonts w:hint="eastAsia" w:ascii="新宋体" w:hAnsi="新宋体" w:eastAsia="新宋体" w:cs="新宋体"/>
                <w:b w:val="0"/>
                <w:bCs w:val="0"/>
                <w:shd w:val="clear" w:color="auto" w:fill="FFFFFF"/>
                <w:lang w:val="zh-CN"/>
              </w:rPr>
              <w:t>分,满分</w:t>
            </w:r>
            <w:r>
              <w:rPr>
                <w:rFonts w:hint="eastAsia" w:ascii="新宋体" w:hAnsi="新宋体" w:eastAsia="新宋体" w:cs="新宋体"/>
                <w:b w:val="0"/>
                <w:bCs w:val="0"/>
                <w:shd w:val="clear" w:color="auto" w:fill="FFFFFF"/>
                <w:lang w:val="en-US" w:eastAsia="zh-CN"/>
              </w:rPr>
              <w:t>10</w:t>
            </w:r>
            <w:r>
              <w:rPr>
                <w:rFonts w:hint="eastAsia" w:ascii="新宋体" w:hAnsi="新宋体" w:eastAsia="新宋体" w:cs="新宋体"/>
                <w:b w:val="0"/>
                <w:bCs w:val="0"/>
                <w:shd w:val="clear" w:color="auto" w:fill="FFFFFF"/>
                <w:lang w:val="zh-CN"/>
              </w:rPr>
              <w:t>分；不提供不得分。</w:t>
            </w:r>
            <w:r>
              <w:rPr>
                <w:rFonts w:hint="eastAsia" w:ascii="新宋体" w:hAnsi="新宋体" w:eastAsia="新宋体" w:cs="新宋体"/>
                <w:b w:val="0"/>
                <w:bCs w:val="0"/>
              </w:rPr>
              <w:t>（</w:t>
            </w:r>
            <w:r>
              <w:rPr>
                <w:rFonts w:hint="eastAsia"/>
                <w:b w:val="0"/>
                <w:bCs w:val="0"/>
              </w:rPr>
              <w:t>需提供包含合同首页、标的及金额所在页、供货合同签字盖章页的扫描（或复印）件。</w:t>
            </w:r>
          </w:p>
        </w:tc>
      </w:tr>
      <w:tr>
        <w:tblPrEx>
          <w:tblLayout w:type="fixed"/>
          <w:tblCellMar>
            <w:top w:w="0" w:type="dxa"/>
            <w:left w:w="108" w:type="dxa"/>
            <w:bottom w:w="0" w:type="dxa"/>
            <w:right w:w="108" w:type="dxa"/>
          </w:tblCellMar>
        </w:tblPrEx>
        <w:trPr>
          <w:trHeight w:val="8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 xml:space="preserve">  5</w:t>
            </w:r>
          </w:p>
        </w:tc>
        <w:tc>
          <w:tcPr>
            <w:tcW w:w="1242"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lang w:val="zh-CN"/>
              </w:rPr>
            </w:pPr>
            <w:r>
              <w:rPr>
                <w:rFonts w:hint="eastAsia" w:cs="宋体"/>
                <w:b w:val="0"/>
                <w:bCs w:val="0"/>
                <w:lang w:val="zh-CN"/>
              </w:rPr>
              <w:t>售后服务</w:t>
            </w:r>
          </w:p>
          <w:p>
            <w:pPr>
              <w:pStyle w:val="3"/>
              <w:spacing w:before="0" w:beforeAutospacing="0" w:after="0" w:afterAutospacing="0" w:line="360" w:lineRule="auto"/>
              <w:jc w:val="both"/>
              <w:rPr>
                <w:rFonts w:hint="eastAsia" w:cs="宋体"/>
                <w:b w:val="0"/>
                <w:bCs w:val="0"/>
                <w:color w:val="FF0000"/>
                <w:lang w:val="zh-CN"/>
              </w:rPr>
            </w:pPr>
            <w:r>
              <w:rPr>
                <w:rFonts w:hint="eastAsia" w:cs="宋体"/>
                <w:b w:val="0"/>
                <w:bCs w:val="0"/>
                <w:lang w:val="zh-CN"/>
              </w:rPr>
              <w:t>(</w:t>
            </w:r>
            <w:r>
              <w:rPr>
                <w:rFonts w:hint="eastAsia" w:cs="宋体"/>
                <w:b w:val="0"/>
                <w:bCs w:val="0"/>
                <w:lang w:val="en-US" w:eastAsia="zh-CN"/>
              </w:rPr>
              <w:t>10</w:t>
            </w:r>
            <w:r>
              <w:rPr>
                <w:rFonts w:hint="eastAsia" w:cs="宋体"/>
                <w:b w:val="0"/>
                <w:bCs w:val="0"/>
                <w:lang w:val="zh-CN"/>
              </w:rPr>
              <w:t>分)</w:t>
            </w:r>
          </w:p>
        </w:tc>
        <w:tc>
          <w:tcPr>
            <w:tcW w:w="683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新宋体" w:hAnsi="新宋体" w:eastAsia="新宋体" w:cs="新宋体"/>
                <w:b w:val="0"/>
                <w:bCs w:val="0"/>
                <w:color w:val="000000"/>
                <w:kern w:val="0"/>
              </w:rPr>
            </w:pPr>
            <w:r>
              <w:rPr>
                <w:rFonts w:hint="eastAsia" w:ascii="宋体" w:hAnsi="宋体" w:cs="宋体"/>
                <w:b w:val="0"/>
                <w:bCs w:val="0"/>
                <w:color w:val="000000"/>
                <w:kern w:val="0"/>
                <w:sz w:val="24"/>
                <w:lang w:val="zh-CN"/>
              </w:rPr>
              <w:t>项目管理及售后服务：</w:t>
            </w:r>
            <w:r>
              <w:rPr>
                <w:rFonts w:hint="eastAsia"/>
                <w:b w:val="0"/>
                <w:bCs w:val="0"/>
                <w:sz w:val="24"/>
                <w:lang w:val="zh-CN"/>
              </w:rPr>
              <w:t>编写本项目售后</w:t>
            </w:r>
            <w:r>
              <w:rPr>
                <w:rFonts w:hint="eastAsia"/>
                <w:b w:val="0"/>
                <w:bCs w:val="0"/>
                <w:sz w:val="24"/>
              </w:rPr>
              <w:t>服务</w:t>
            </w:r>
            <w:r>
              <w:rPr>
                <w:rFonts w:hint="eastAsia"/>
                <w:b w:val="0"/>
                <w:bCs w:val="0"/>
                <w:sz w:val="24"/>
                <w:lang w:val="zh-CN"/>
              </w:rPr>
              <w:t>方案，编写完整具体合理,可完全满足或优于项目需求的得</w:t>
            </w:r>
            <w:r>
              <w:rPr>
                <w:rFonts w:hint="eastAsia"/>
                <w:b w:val="0"/>
                <w:bCs w:val="0"/>
                <w:sz w:val="24"/>
                <w:lang w:val="en-US" w:eastAsia="zh-CN"/>
              </w:rPr>
              <w:t>10</w:t>
            </w:r>
            <w:r>
              <w:rPr>
                <w:rFonts w:hint="eastAsia"/>
                <w:b w:val="0"/>
                <w:bCs w:val="0"/>
                <w:sz w:val="24"/>
                <w:lang w:val="zh-CN"/>
              </w:rPr>
              <w:t>分;方案内容较为完善,可满足本项目需求的得</w:t>
            </w:r>
            <w:r>
              <w:rPr>
                <w:rFonts w:hint="eastAsia"/>
                <w:b w:val="0"/>
                <w:bCs w:val="0"/>
                <w:sz w:val="24"/>
                <w:lang w:val="en-US" w:eastAsia="zh-CN"/>
              </w:rPr>
              <w:t>7</w:t>
            </w:r>
            <w:r>
              <w:rPr>
                <w:rFonts w:hint="eastAsia"/>
                <w:b w:val="0"/>
                <w:bCs w:val="0"/>
                <w:sz w:val="24"/>
                <w:lang w:val="zh-CN"/>
              </w:rPr>
              <w:t>分;</w:t>
            </w:r>
            <w:r>
              <w:rPr>
                <w:rFonts w:hint="eastAsia" w:ascii="宋体" w:hAnsi="宋体" w:cs="宋体"/>
                <w:b w:val="0"/>
                <w:bCs w:val="0"/>
                <w:color w:val="000000"/>
                <w:kern w:val="0"/>
                <w:sz w:val="24"/>
              </w:rPr>
              <w:t>方案、</w:t>
            </w:r>
            <w:r>
              <w:rPr>
                <w:rFonts w:hint="eastAsia" w:ascii="宋体" w:hAnsi="宋体" w:cs="宋体"/>
                <w:b w:val="0"/>
                <w:bCs w:val="0"/>
                <w:color w:val="000000"/>
                <w:kern w:val="0"/>
                <w:sz w:val="24"/>
                <w:lang w:eastAsia="zh-CN"/>
              </w:rPr>
              <w:t>内容</w:t>
            </w:r>
            <w:r>
              <w:rPr>
                <w:rFonts w:hint="eastAsia" w:ascii="宋体" w:hAnsi="宋体" w:cs="宋体"/>
                <w:b w:val="0"/>
                <w:bCs w:val="0"/>
                <w:color w:val="000000"/>
                <w:kern w:val="0"/>
                <w:sz w:val="24"/>
              </w:rPr>
              <w:t>一般的</w:t>
            </w:r>
            <w:r>
              <w:rPr>
                <w:rFonts w:hint="eastAsia"/>
                <w:b w:val="0"/>
                <w:bCs w:val="0"/>
                <w:sz w:val="24"/>
                <w:lang w:val="zh-CN"/>
              </w:rPr>
              <w:t>可基本满足本项目需求的</w:t>
            </w:r>
            <w:r>
              <w:rPr>
                <w:rFonts w:hint="eastAsia" w:ascii="宋体" w:hAnsi="宋体" w:cs="宋体"/>
                <w:b w:val="0"/>
                <w:bCs w:val="0"/>
                <w:color w:val="000000"/>
                <w:kern w:val="0"/>
                <w:sz w:val="24"/>
              </w:rPr>
              <w:t>得4 分</w:t>
            </w:r>
            <w:r>
              <w:rPr>
                <w:rFonts w:hint="eastAsia" w:ascii="宋体" w:hAnsi="宋体" w:cs="宋体"/>
                <w:b w:val="0"/>
                <w:bCs w:val="0"/>
                <w:color w:val="000000"/>
                <w:kern w:val="0"/>
                <w:sz w:val="24"/>
                <w:lang w:eastAsia="zh-CN"/>
              </w:rPr>
              <w:t>，</w:t>
            </w:r>
            <w:r>
              <w:rPr>
                <w:rFonts w:hint="eastAsia"/>
                <w:b w:val="0"/>
                <w:bCs w:val="0"/>
                <w:sz w:val="24"/>
                <w:lang w:val="zh-CN"/>
              </w:rPr>
              <w:t>未提供的不得分。</w:t>
            </w:r>
          </w:p>
        </w:tc>
      </w:tr>
    </w:tbl>
    <w:p>
      <w:pPr>
        <w:pStyle w:val="3"/>
        <w:keepNext w:val="0"/>
        <w:keepLines w:val="0"/>
        <w:widowControl/>
        <w:suppressLineNumbers w:val="0"/>
        <w:rPr>
          <w:rFonts w:hint="eastAsia" w:ascii="仿宋" w:hAnsi="仿宋" w:eastAsia="仿宋" w:cs="仿宋"/>
          <w:sz w:val="31"/>
          <w:szCs w:val="31"/>
          <w:lang w:eastAsia="zh-CN"/>
        </w:rPr>
      </w:pPr>
      <w:bookmarkStart w:id="0" w:name="_Toc28074"/>
    </w:p>
    <w:p>
      <w:pPr>
        <w:pStyle w:val="3"/>
        <w:keepNext w:val="0"/>
        <w:keepLines w:val="0"/>
        <w:widowControl/>
        <w:suppressLineNumbers w:val="0"/>
        <w:rPr>
          <w:rFonts w:hint="eastAsia" w:ascii="仿宋" w:hAnsi="仿宋" w:eastAsia="仿宋" w:cs="仿宋"/>
          <w:sz w:val="31"/>
          <w:szCs w:val="31"/>
          <w:lang w:val="en-US" w:eastAsia="zh-CN"/>
        </w:rPr>
      </w:pPr>
      <w:r>
        <w:rPr>
          <w:rFonts w:hint="eastAsia" w:ascii="仿宋" w:hAnsi="仿宋" w:eastAsia="仿宋" w:cs="仿宋"/>
          <w:sz w:val="31"/>
          <w:szCs w:val="31"/>
          <w:lang w:eastAsia="zh-CN"/>
        </w:rPr>
        <w:t>附表</w:t>
      </w:r>
      <w:r>
        <w:rPr>
          <w:rFonts w:hint="eastAsia" w:ascii="仿宋" w:hAnsi="仿宋" w:eastAsia="仿宋" w:cs="仿宋"/>
          <w:sz w:val="31"/>
          <w:szCs w:val="31"/>
          <w:lang w:val="en-US" w:eastAsia="zh-CN"/>
        </w:rPr>
        <w:t>：</w:t>
      </w:r>
    </w:p>
    <w:p>
      <w:pPr>
        <w:jc w:val="center"/>
        <w:rPr>
          <w:rFonts w:hint="eastAsia" w:ascii="方正公文仿宋" w:hAnsi="方正公文仿宋" w:eastAsia="方正公文仿宋" w:cs="方正公文仿宋"/>
          <w:sz w:val="32"/>
          <w:szCs w:val="32"/>
          <w:highlight w:val="none"/>
          <w:lang w:val="en-US" w:eastAsia="zh-CN"/>
        </w:rPr>
      </w:pPr>
      <w:r>
        <w:rPr>
          <w:rFonts w:hint="eastAsia" w:ascii="方正公文仿宋" w:hAnsi="方正公文仿宋" w:eastAsia="方正公文仿宋" w:cs="方正公文仿宋"/>
          <w:sz w:val="32"/>
          <w:szCs w:val="32"/>
          <w:highlight w:val="none"/>
          <w:lang w:val="en-US" w:eastAsia="zh-CN"/>
        </w:rPr>
        <w:t>报价表</w:t>
      </w:r>
      <w:bookmarkEnd w:id="0"/>
    </w:p>
    <w:p>
      <w:pPr>
        <w:widowControl w:val="0"/>
        <w:numPr>
          <w:ilvl w:val="0"/>
          <w:numId w:val="0"/>
        </w:numPr>
        <w:bidi w:val="0"/>
        <w:jc w:val="both"/>
        <w:rPr>
          <w:rFonts w:hint="default"/>
          <w:color w:val="auto"/>
          <w:lang w:val="en-US" w:eastAsia="zh-CN"/>
        </w:rPr>
      </w:pPr>
    </w:p>
    <w:p>
      <w:pPr>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w:t>
      </w:r>
    </w:p>
    <w:tbl>
      <w:tblPr>
        <w:tblStyle w:val="6"/>
        <w:tblW w:w="7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2470" w:type="dxa"/>
            <w:vAlign w:val="top"/>
          </w:tcPr>
          <w:p>
            <w:pPr>
              <w:bidi w:val="0"/>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p>
        </w:tc>
        <w:tc>
          <w:tcPr>
            <w:tcW w:w="5100" w:type="dxa"/>
            <w:vAlign w:val="top"/>
          </w:tcPr>
          <w:p>
            <w:pPr>
              <w:bidi w:val="0"/>
              <w:spacing w:line="360" w:lineRule="auto"/>
              <w:ind w:firstLine="480" w:firstLineChars="200"/>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2470" w:type="dxa"/>
            <w:vAlign w:val="top"/>
          </w:tcPr>
          <w:p>
            <w:pPr>
              <w:tabs>
                <w:tab w:val="center" w:pos="1127"/>
              </w:tabs>
              <w:bidi w:val="0"/>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（元）</w:t>
            </w:r>
          </w:p>
        </w:tc>
        <w:tc>
          <w:tcPr>
            <w:tcW w:w="5100" w:type="dxa"/>
            <w:vAlign w:val="top"/>
          </w:tcPr>
          <w:p>
            <w:pPr>
              <w:bidi w:val="0"/>
              <w:spacing w:line="360" w:lineRule="auto"/>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2470" w:type="dxa"/>
            <w:vAlign w:val="top"/>
          </w:tcPr>
          <w:p>
            <w:pPr>
              <w:bidi w:val="0"/>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交货期</w:t>
            </w:r>
          </w:p>
        </w:tc>
        <w:tc>
          <w:tcPr>
            <w:tcW w:w="5100" w:type="dxa"/>
            <w:vAlign w:val="top"/>
          </w:tcPr>
          <w:p>
            <w:pPr>
              <w:bidi w:val="0"/>
              <w:spacing w:line="360" w:lineRule="auto"/>
              <w:ind w:firstLine="480" w:firstLineChars="200"/>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470" w:type="dxa"/>
            <w:vAlign w:val="top"/>
          </w:tcPr>
          <w:p>
            <w:pPr>
              <w:bidi w:val="0"/>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优惠承诺及其他</w:t>
            </w:r>
          </w:p>
        </w:tc>
        <w:tc>
          <w:tcPr>
            <w:tcW w:w="5100" w:type="dxa"/>
            <w:vAlign w:val="top"/>
          </w:tcPr>
          <w:p>
            <w:pPr>
              <w:bidi w:val="0"/>
              <w:spacing w:line="360" w:lineRule="auto"/>
              <w:ind w:firstLine="480" w:firstLineChars="200"/>
              <w:rPr>
                <w:rFonts w:hint="default" w:ascii="宋体" w:hAnsi="宋体" w:eastAsia="宋体" w:cs="宋体"/>
                <w:color w:val="auto"/>
                <w:sz w:val="24"/>
                <w:szCs w:val="24"/>
                <w:lang w:val="en-US" w:eastAsia="zh-CN"/>
              </w:rPr>
            </w:pPr>
          </w:p>
        </w:tc>
      </w:tr>
    </w:tbl>
    <w:p>
      <w:pPr>
        <w:rPr>
          <w:rFonts w:hint="eastAsia" w:ascii="方正公文仿宋" w:hAnsi="方正公文仿宋" w:eastAsia="方正公文仿宋" w:cs="方正公文仿宋"/>
          <w:sz w:val="32"/>
          <w:szCs w:val="32"/>
          <w:highlight w:val="none"/>
        </w:rPr>
      </w:pPr>
      <w:r>
        <w:rPr>
          <w:rFonts w:hint="eastAsia" w:ascii="方正公文仿宋" w:hAnsi="方正公文仿宋" w:eastAsia="方正公文仿宋" w:cs="方正公文仿宋"/>
          <w:sz w:val="32"/>
          <w:szCs w:val="32"/>
          <w:highlight w:val="none"/>
          <w:lang w:eastAsia="zh-CN"/>
        </w:rPr>
        <w:t>注：本项目报价现场填写，需加盖公章。</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altName w:val="仿宋"/>
    <w:panose1 w:val="02000500000000000000"/>
    <w:charset w:val="86"/>
    <w:family w:val="auto"/>
    <w:pitch w:val="default"/>
    <w:sig w:usb0="00000000" w:usb1="00000000"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D205E"/>
    <w:rsid w:val="297F1E33"/>
    <w:rsid w:val="378D205E"/>
    <w:rsid w:val="4CE9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yb</Company>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2025-05-26T09:13:00Z</dcterms:created>
  <dc:creator>Administrator</dc:creator>
  <cp:lastModifiedBy>Administrator</cp:lastModifiedBy>
  <dcterms:modified xsi:type="dcterms:W3CDTF">2025-05-26T09:24:35Z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